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C5" w:rsidRPr="005948E2" w:rsidRDefault="00690320" w:rsidP="005948E2">
      <w:pPr>
        <w:rPr>
          <w:b/>
          <w:bCs/>
          <w:sz w:val="32"/>
          <w:szCs w:val="32"/>
          <w:lang w:val="pl-PL"/>
        </w:rPr>
      </w:pPr>
      <w:r>
        <w:rPr>
          <w:b/>
          <w:bCs/>
          <w:sz w:val="32"/>
          <w:szCs w:val="32"/>
          <w:lang w:val="pl-PL"/>
        </w:rPr>
        <w:t>8</w:t>
      </w:r>
    </w:p>
    <w:p w:rsidR="001966C5" w:rsidRPr="000B1E97" w:rsidRDefault="001966C5" w:rsidP="00D57323">
      <w:pPr>
        <w:jc w:val="center"/>
        <w:rPr>
          <w:b/>
          <w:bCs/>
          <w:sz w:val="20"/>
          <w:szCs w:val="20"/>
          <w:lang w:val="pl-PL"/>
        </w:rPr>
      </w:pPr>
    </w:p>
    <w:p w:rsidR="001966C5" w:rsidRPr="000B1E97" w:rsidRDefault="001966C5" w:rsidP="00D57323">
      <w:pPr>
        <w:rPr>
          <w:b/>
          <w:bCs/>
          <w:lang w:val="pl-PL"/>
        </w:rPr>
      </w:pPr>
      <w:r w:rsidRPr="000B1E97">
        <w:rPr>
          <w:b/>
          <w:bCs/>
          <w:lang w:val="pl-PL"/>
        </w:rPr>
        <w:t xml:space="preserve">Przedmiot zamówienia: </w:t>
      </w:r>
      <w:r>
        <w:rPr>
          <w:b/>
          <w:bCs/>
          <w:lang w:val="pl-PL" w:eastAsia="ar-SA"/>
        </w:rPr>
        <w:t xml:space="preserve">Komora do dezynfekcji </w:t>
      </w:r>
      <w:r w:rsidRPr="000B1E97">
        <w:rPr>
          <w:b/>
          <w:bCs/>
          <w:lang w:val="pl-PL"/>
        </w:rPr>
        <w:t xml:space="preserve">- </w:t>
      </w:r>
      <w:r>
        <w:rPr>
          <w:b/>
          <w:bCs/>
          <w:lang w:val="pl-PL"/>
        </w:rPr>
        <w:t>1</w:t>
      </w:r>
      <w:r w:rsidRPr="000B1E97">
        <w:rPr>
          <w:b/>
          <w:bCs/>
          <w:lang w:val="pl-PL"/>
        </w:rPr>
        <w:t xml:space="preserve"> sztuk</w:t>
      </w:r>
      <w:r>
        <w:rPr>
          <w:b/>
          <w:bCs/>
          <w:lang w:val="pl-PL"/>
        </w:rPr>
        <w:t>a</w:t>
      </w:r>
    </w:p>
    <w:p w:rsidR="001966C5" w:rsidRPr="000B1E97" w:rsidRDefault="001966C5" w:rsidP="00D57323">
      <w:pPr>
        <w:rPr>
          <w:b/>
          <w:bCs/>
          <w:lang w:val="pl-PL"/>
        </w:rPr>
      </w:pPr>
    </w:p>
    <w:p w:rsidR="001966C5" w:rsidRPr="000B1E97" w:rsidRDefault="001966C5" w:rsidP="00D57323">
      <w:pPr>
        <w:rPr>
          <w:b/>
          <w:bCs/>
          <w:lang w:val="pl-PL"/>
        </w:rPr>
      </w:pPr>
      <w:r w:rsidRPr="000B1E97">
        <w:rPr>
          <w:b/>
          <w:bCs/>
          <w:lang w:val="pl-PL"/>
        </w:rPr>
        <w:t>Producent:</w:t>
      </w:r>
    </w:p>
    <w:p w:rsidR="001966C5" w:rsidRPr="000B1E97" w:rsidRDefault="001966C5" w:rsidP="00D57323">
      <w:pPr>
        <w:rPr>
          <w:b/>
          <w:bCs/>
          <w:lang w:val="pl-PL"/>
        </w:rPr>
      </w:pPr>
    </w:p>
    <w:p w:rsidR="001966C5" w:rsidRPr="000B1E97" w:rsidRDefault="001966C5" w:rsidP="00D57323">
      <w:pPr>
        <w:rPr>
          <w:b/>
          <w:bCs/>
          <w:lang w:val="pl-PL"/>
        </w:rPr>
      </w:pPr>
      <w:r w:rsidRPr="000B1E97">
        <w:rPr>
          <w:b/>
          <w:bCs/>
          <w:lang w:val="pl-PL"/>
        </w:rPr>
        <w:t>Kraj pochodzenia:</w:t>
      </w:r>
    </w:p>
    <w:p w:rsidR="001966C5" w:rsidRPr="000B1E97" w:rsidRDefault="001966C5" w:rsidP="00D57323">
      <w:pPr>
        <w:rPr>
          <w:b/>
          <w:bCs/>
          <w:lang w:val="pl-PL"/>
        </w:rPr>
      </w:pPr>
    </w:p>
    <w:p w:rsidR="001966C5" w:rsidRPr="000B1E97" w:rsidRDefault="001966C5" w:rsidP="00D57323">
      <w:pPr>
        <w:rPr>
          <w:b/>
          <w:bCs/>
          <w:lang w:val="pl-PL"/>
        </w:rPr>
      </w:pPr>
      <w:r w:rsidRPr="000B1E97">
        <w:rPr>
          <w:b/>
          <w:bCs/>
          <w:lang w:val="pl-PL"/>
        </w:rPr>
        <w:t>Oferowany model:</w:t>
      </w:r>
    </w:p>
    <w:p w:rsidR="001966C5" w:rsidRPr="000B1E97" w:rsidRDefault="001966C5" w:rsidP="00D57323">
      <w:pPr>
        <w:rPr>
          <w:b/>
          <w:bCs/>
          <w:lang w:val="pl-PL"/>
        </w:rPr>
      </w:pPr>
    </w:p>
    <w:p w:rsidR="001966C5" w:rsidRPr="00EE55E5" w:rsidRDefault="001966C5" w:rsidP="00D57323">
      <w:pPr>
        <w:rPr>
          <w:b/>
          <w:bCs/>
          <w:lang w:val="pl-PL"/>
        </w:rPr>
      </w:pPr>
      <w:r w:rsidRPr="00EE55E5">
        <w:rPr>
          <w:b/>
          <w:bCs/>
          <w:lang w:val="pl-PL"/>
        </w:rPr>
        <w:t>Rok produkcji urządzenia:</w:t>
      </w:r>
    </w:p>
    <w:p w:rsidR="001966C5" w:rsidRPr="000B1E97" w:rsidRDefault="001966C5" w:rsidP="00D57323">
      <w:pPr>
        <w:rPr>
          <w:b/>
          <w:bCs/>
          <w:lang w:val="pl-PL"/>
        </w:rPr>
      </w:pPr>
    </w:p>
    <w:p w:rsidR="001966C5" w:rsidRDefault="001966C5" w:rsidP="00D57323">
      <w:pPr>
        <w:rPr>
          <w:b/>
          <w:bCs/>
          <w:sz w:val="28"/>
          <w:szCs w:val="28"/>
          <w:lang w:val="pl-PL"/>
        </w:rPr>
      </w:pPr>
    </w:p>
    <w:tbl>
      <w:tblPr>
        <w:tblW w:w="15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8"/>
        <w:gridCol w:w="6059"/>
        <w:gridCol w:w="1984"/>
        <w:gridCol w:w="2127"/>
        <w:gridCol w:w="2127"/>
        <w:gridCol w:w="2127"/>
      </w:tblGrid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ind w:right="-67"/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  <w:r w:rsidRPr="00266615">
              <w:rPr>
                <w:b/>
                <w:bCs/>
                <w:kern w:val="2"/>
                <w:sz w:val="20"/>
                <w:szCs w:val="20"/>
                <w:lang w:val="pl-PL"/>
              </w:rPr>
              <w:t>L.P.</w:t>
            </w:r>
          </w:p>
        </w:tc>
        <w:tc>
          <w:tcPr>
            <w:tcW w:w="6059" w:type="dxa"/>
          </w:tcPr>
          <w:p w:rsidR="001966C5" w:rsidRPr="00266615" w:rsidRDefault="001966C5" w:rsidP="00266615">
            <w:pPr>
              <w:jc w:val="center"/>
              <w:rPr>
                <w:b/>
                <w:bCs/>
                <w:sz w:val="20"/>
                <w:szCs w:val="20"/>
              </w:rPr>
            </w:pPr>
            <w:r w:rsidRPr="00266615">
              <w:rPr>
                <w:b/>
                <w:bCs/>
                <w:sz w:val="20"/>
                <w:szCs w:val="20"/>
              </w:rPr>
              <w:t>Parametry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b/>
                <w:bCs/>
                <w:sz w:val="20"/>
                <w:szCs w:val="20"/>
              </w:rPr>
            </w:pPr>
            <w:r w:rsidRPr="00266615">
              <w:rPr>
                <w:b/>
                <w:bCs/>
                <w:sz w:val="20"/>
                <w:szCs w:val="20"/>
              </w:rPr>
              <w:t>Parametr graniczny</w:t>
            </w:r>
          </w:p>
          <w:p w:rsidR="001966C5" w:rsidRPr="00266615" w:rsidRDefault="001966C5" w:rsidP="0026661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spacing w:after="200" w:line="276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266615">
              <w:rPr>
                <w:b/>
                <w:bCs/>
                <w:sz w:val="20"/>
                <w:szCs w:val="20"/>
                <w:lang w:val="pl-PL"/>
              </w:rPr>
              <w:t>Potwierdzenie parametru granicznego TAK/określić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b/>
                <w:bCs/>
                <w:sz w:val="20"/>
                <w:szCs w:val="20"/>
              </w:rPr>
            </w:pPr>
            <w:r w:rsidRPr="00266615">
              <w:rPr>
                <w:b/>
                <w:bCs/>
                <w:sz w:val="20"/>
                <w:szCs w:val="20"/>
              </w:rPr>
              <w:t>Parametr punktowany</w:t>
            </w:r>
          </w:p>
          <w:p w:rsidR="001966C5" w:rsidRPr="00266615" w:rsidRDefault="001966C5" w:rsidP="0026661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966C5" w:rsidRPr="00266615" w:rsidRDefault="001966C5" w:rsidP="0026661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966C5" w:rsidRPr="00266615" w:rsidRDefault="001966C5" w:rsidP="0026661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966C5" w:rsidRPr="00266615" w:rsidRDefault="001966C5" w:rsidP="0026661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b/>
                <w:bCs/>
                <w:sz w:val="20"/>
                <w:szCs w:val="20"/>
              </w:rPr>
            </w:pPr>
            <w:r w:rsidRPr="00266615">
              <w:rPr>
                <w:b/>
                <w:bCs/>
                <w:sz w:val="20"/>
                <w:szCs w:val="20"/>
              </w:rPr>
              <w:t>Potwierdzenie parametru punktowanego</w:t>
            </w:r>
          </w:p>
          <w:p w:rsidR="001966C5" w:rsidRPr="00266615" w:rsidRDefault="001966C5" w:rsidP="00266615">
            <w:pPr>
              <w:jc w:val="center"/>
              <w:rPr>
                <w:b/>
                <w:bCs/>
                <w:sz w:val="20"/>
                <w:szCs w:val="20"/>
              </w:rPr>
            </w:pPr>
            <w:r w:rsidRPr="00266615">
              <w:rPr>
                <w:b/>
                <w:bCs/>
                <w:sz w:val="20"/>
                <w:szCs w:val="20"/>
              </w:rPr>
              <w:t>TAK/NIE</w:t>
            </w:r>
          </w:p>
          <w:p w:rsidR="001966C5" w:rsidRPr="00266615" w:rsidRDefault="001966C5" w:rsidP="0026661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ind w:right="-67"/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  <w:r w:rsidRPr="00266615">
              <w:rPr>
                <w:b/>
                <w:bCs/>
                <w:kern w:val="2"/>
                <w:sz w:val="20"/>
                <w:szCs w:val="20"/>
                <w:lang w:val="pl-PL"/>
              </w:rPr>
              <w:t>I</w:t>
            </w: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bCs/>
                <w:sz w:val="20"/>
                <w:szCs w:val="20"/>
                <w:lang w:val="pl-PL" w:eastAsia="ar-SA"/>
              </w:rPr>
            </w:pPr>
            <w:r w:rsidRPr="00266615">
              <w:rPr>
                <w:b/>
                <w:bCs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ind w:right="141"/>
              <w:rPr>
                <w:kern w:val="2"/>
                <w:sz w:val="20"/>
                <w:szCs w:val="20"/>
                <w:lang w:val="pl-PL"/>
              </w:rPr>
            </w:pPr>
            <w:r w:rsidRPr="00266615">
              <w:rPr>
                <w:kern w:val="2"/>
                <w:sz w:val="20"/>
                <w:szCs w:val="20"/>
                <w:lang w:val="pl-PL"/>
              </w:rPr>
              <w:t>Komora przelotowa, dwudrzwiowa. Wjazd i wyjazd z komory z poziomu posadzki.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ind w:right="141"/>
              <w:rPr>
                <w:kern w:val="2"/>
                <w:sz w:val="20"/>
                <w:szCs w:val="20"/>
                <w:lang w:val="pl-PL"/>
              </w:rPr>
            </w:pPr>
            <w:r w:rsidRPr="00266615">
              <w:rPr>
                <w:kern w:val="2"/>
                <w:sz w:val="20"/>
                <w:szCs w:val="20"/>
                <w:lang w:val="pl-PL"/>
              </w:rPr>
              <w:t>Drzwi przesuwne (otwierane w bok). Dostęp do przestrzeni serwisowej z przodu lub z prawej strony urządzenia (od strony załadowczej).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ind w:right="141"/>
              <w:rPr>
                <w:kern w:val="2"/>
                <w:sz w:val="20"/>
                <w:szCs w:val="20"/>
                <w:lang w:val="pl-PL"/>
              </w:rPr>
            </w:pPr>
            <w:r w:rsidRPr="00266615">
              <w:rPr>
                <w:kern w:val="2"/>
                <w:sz w:val="20"/>
                <w:szCs w:val="20"/>
                <w:lang w:val="pl-PL"/>
              </w:rPr>
              <w:t>Pojemność komory 12 standardowych materacy o grubości 12 cm (pojemność komory 5,5 m3  ±3%).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ind w:right="141"/>
              <w:rPr>
                <w:kern w:val="2"/>
                <w:sz w:val="20"/>
                <w:szCs w:val="20"/>
                <w:lang w:val="pl-PL"/>
              </w:rPr>
            </w:pPr>
            <w:r w:rsidRPr="00266615">
              <w:rPr>
                <w:kern w:val="2"/>
                <w:sz w:val="20"/>
                <w:szCs w:val="20"/>
                <w:lang w:val="pl-PL"/>
              </w:rPr>
              <w:t>Wytwornica pary zasilana wodą o przewodności poniżej 5µS/cm oraz energią elektryczną o mocy nie przekraczającej 125 kW.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266615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TAK, podać</w:t>
            </w:r>
          </w:p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125 kW - 0 pkt.</w:t>
            </w:r>
          </w:p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&lt; 125 kW - 5 pkt.</w:t>
            </w:r>
          </w:p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&lt; 100 kW - 10 pkt.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ind w:right="141"/>
              <w:rPr>
                <w:kern w:val="2"/>
                <w:sz w:val="20"/>
                <w:szCs w:val="20"/>
                <w:lang w:val="pl-PL"/>
              </w:rPr>
            </w:pPr>
            <w:r w:rsidRPr="00266615">
              <w:rPr>
                <w:kern w:val="2"/>
                <w:sz w:val="20"/>
                <w:szCs w:val="20"/>
                <w:lang w:val="pl-PL"/>
              </w:rPr>
              <w:t>Rodzaj procesu – frakcjonowana próżnia, dezynfekcja parowa.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ind w:right="141"/>
              <w:rPr>
                <w:kern w:val="2"/>
                <w:sz w:val="20"/>
                <w:szCs w:val="20"/>
                <w:lang w:val="pl-PL"/>
              </w:rPr>
            </w:pPr>
            <w:r w:rsidRPr="00266615">
              <w:rPr>
                <w:kern w:val="2"/>
                <w:sz w:val="20"/>
                <w:szCs w:val="20"/>
                <w:lang w:val="pl-PL"/>
              </w:rPr>
              <w:t>Programy dezynfekcji parowej w temperaturze 105˚C(±5˚),  80˚C(±5˚) i 70˚C(±5˚).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ind w:right="141"/>
              <w:rPr>
                <w:kern w:val="2"/>
                <w:sz w:val="20"/>
                <w:szCs w:val="20"/>
                <w:lang w:val="pl-PL"/>
              </w:rPr>
            </w:pPr>
            <w:r w:rsidRPr="00266615">
              <w:rPr>
                <w:kern w:val="2"/>
                <w:sz w:val="20"/>
                <w:szCs w:val="20"/>
                <w:lang w:val="pl-PL"/>
              </w:rPr>
              <w:t>Test szczelności komory (próżniowy).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266615">
              <w:rPr>
                <w:sz w:val="20"/>
                <w:szCs w:val="20"/>
                <w:lang w:val="pl-PL" w:eastAsia="ar-SA"/>
              </w:rPr>
              <w:t>Sterowanie i kontrola pracy urządzenia za pomocą sterownika mikroprocesorowego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266615">
              <w:rPr>
                <w:sz w:val="20"/>
                <w:szCs w:val="20"/>
                <w:lang w:val="pl-PL" w:eastAsia="ar-SA"/>
              </w:rPr>
              <w:t xml:space="preserve">Funkcja zdalnej diagnostyki urządzenia realizowana w czasie </w:t>
            </w:r>
            <w:r w:rsidRPr="00266615">
              <w:rPr>
                <w:sz w:val="20"/>
                <w:szCs w:val="20"/>
                <w:lang w:val="pl-PL" w:eastAsia="ar-SA"/>
              </w:rPr>
              <w:lastRenderedPageBreak/>
              <w:t>rzeczywistym. Obsługiwana przez jednostkę serwisową na terenie kraju.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lastRenderedPageBreak/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266615">
              <w:rPr>
                <w:sz w:val="20"/>
                <w:szCs w:val="20"/>
                <w:lang w:val="pl-PL" w:eastAsia="ar-SA"/>
              </w:rPr>
              <w:t>Konstrukcja sterownika oferowanego urządzenia umożliwiająca połączenie ze sterownikami pozostałych oferowanych myjni-dezynfektorów, sterylizatora plazmowego oraz posiadanej przez Zamawiającego myjni-dezynfektora prod. Getinge model 46-5, rok prod. 2010 w jednolity system komputerowy do monitorowania procesów sterylizacji, mycia, dezynfekcji oraz ewidencji a także wyliczania kosztów procesów.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 w:eastAsia="ar-SA"/>
              </w:rPr>
              <w:t>Wspólny wytwórca oferowanego urządzenia oraz oferowanego systemu komputerowej rejestracji pracy Centralnej Sterylizatorni i Stacji Łóżek. Jako wspólny wytwórca rozumiany jest wytwórca lub grupa wytwórców należąca do jednej grupy kapitałowej, widniejący w certyfikatach urządzenia jako producent</w:t>
            </w:r>
            <w:r w:rsidRPr="00266615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Kopię dokumentu załączyć do oferty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266615">
              <w:rPr>
                <w:sz w:val="20"/>
                <w:szCs w:val="20"/>
                <w:lang w:val="pl-PL" w:eastAsia="ar-SA"/>
              </w:rPr>
              <w:t>Optyczna informacja o błędach i awariach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266615">
              <w:rPr>
                <w:sz w:val="20"/>
                <w:szCs w:val="20"/>
                <w:lang w:val="pl-PL" w:eastAsia="ar-SA"/>
              </w:rPr>
              <w:t>Procesy realizowane automatycznie bez potrzeby ingerencji ze strony użytkownika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266615">
              <w:rPr>
                <w:sz w:val="20"/>
                <w:szCs w:val="20"/>
                <w:lang w:val="pl-PL" w:eastAsia="ar-SA"/>
              </w:rPr>
              <w:t>Sterownik urządzenia wyposażony po stronie załadowczej i rozładowczej w kolorowy graficzny wyświetlacz ciekłokrystaliczny o przekątnej min. 7,5” lub kolorowy ekran dotykowy o przekątnej aktywnej matrycy min. 7,5”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Po stronie załadowczej prezentacja w czasie rzeczywistym parametrów aktualnego procesu na ekranie sterownika w postaci graficznej (wykres/diagram) i numerycznej (wartości parametrów) oraz czasu pozostałego do końca programu oraz nazwy i numeru aktualnego programu.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Po stronie rozładowczej prezentacja w czasie rzeczywistym czasu pozostałego do końca programu oraz nazwy i numeru aktualnego programu.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Pomiar, prezentacja na ekranie sterownika oraz rejestracja na wydruku parametrów procesu – temperatura i ciśnienie w komorze z 2 niezależnych źródeł (2 czujniki ciśnienia i 2 czujniki temperatury w komorze, osobne dla każdego zestawu czujników temperatury i ciśnienia układy przetwarzające – jeden zawarty w sterowniku, drugi poza układem funkcjonalnym sterownika) oraz temperatura płaszcza.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266615">
              <w:rPr>
                <w:sz w:val="20"/>
                <w:szCs w:val="20"/>
                <w:lang w:val="pl-PL"/>
              </w:rPr>
              <w:t>Komunikaty na ekranie sterownika oraz napisy/opisy umieszczone na urządzeniu w języku polskim.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266615">
              <w:rPr>
                <w:sz w:val="20"/>
                <w:szCs w:val="20"/>
                <w:lang w:val="pl-PL"/>
              </w:rPr>
              <w:t>Alarmy i komunikaty ostrzegawcze na ekranie sterownika oraz na wydruku prezentowane w języku polskim.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Rejestracja parametrów w języku polskim - wydruk parametrów procesu na wbudowanej drukarce. Drukarka zlokalizowana po stronie załadowczej.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266615">
              <w:rPr>
                <w:sz w:val="20"/>
                <w:szCs w:val="20"/>
                <w:lang w:val="pl-PL"/>
              </w:rPr>
              <w:t>Rejestracja parametrów w języku polskim – w wersji elektronicznej – plik typu .pdf, na zewnętrznym nośniku pamięci np. pamięć USB. Złącze zewnętrznego nośnika pamięci zlokalizowane po stronie załadowczej.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266615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266615">
              <w:rPr>
                <w:color w:val="000000"/>
                <w:sz w:val="20"/>
                <w:szCs w:val="20"/>
                <w:lang w:val="pl-PL"/>
              </w:rPr>
              <w:t>TAK/NIE</w:t>
            </w:r>
          </w:p>
          <w:p w:rsidR="001966C5" w:rsidRPr="00266615" w:rsidRDefault="001966C5" w:rsidP="00266615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266615">
              <w:rPr>
                <w:color w:val="000000"/>
                <w:sz w:val="20"/>
                <w:szCs w:val="20"/>
                <w:lang w:val="pl-PL"/>
              </w:rPr>
              <w:t>TAK – 5 pkt.,</w:t>
            </w:r>
          </w:p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266615">
              <w:rPr>
                <w:color w:val="000000"/>
                <w:sz w:val="20"/>
                <w:szCs w:val="20"/>
                <w:lang w:val="pl-PL"/>
              </w:rPr>
              <w:t>NIE – 0 pkt.,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266615">
              <w:rPr>
                <w:sz w:val="20"/>
                <w:szCs w:val="20"/>
                <w:lang w:val="pl-PL" w:eastAsia="ar-SA"/>
              </w:rPr>
              <w:t>Programowalna książka serwisowa w sterowniku - informacja o potrzebie wykonania przeglądu technicznego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266615">
              <w:rPr>
                <w:sz w:val="20"/>
                <w:szCs w:val="20"/>
                <w:lang w:val="pl-PL" w:eastAsia="ar-SA"/>
              </w:rPr>
              <w:t xml:space="preserve">Dostęp do ustawień parametrów procesu zabezpieczony kodem 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Niezależny mikroprocesorowy system kontroli pracy sterownika zatrzymujący automatycznie proces w przypadku wykrycia nieprawidłowości.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Pomiar ciśnienia w komorze niezależny od ciśnienia atmosferycznego.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Zabezpieczenie programowalnych danych przed skasowaniem w przypadku zaniku napięcia zasilającego.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W panelu czołowym po stronie załadowczej manometry wskazujące ciśnienie w komorze oraz ciśnienie pary zasilającej.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Komora prostopadłościenna, szlifowane i polerowane wewnętrzne powierzchnie komory.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Lekka i energooszczędna konstrukcja komory - grubość ścian komory nie większa niż 5 mm ±1 mm.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color w:val="000000"/>
                <w:sz w:val="20"/>
                <w:szCs w:val="20"/>
                <w:lang w:val="pl-PL"/>
              </w:rPr>
              <w:t>TAK</w:t>
            </w:r>
            <w:r w:rsidRPr="00266615">
              <w:rPr>
                <w:sz w:val="20"/>
                <w:szCs w:val="20"/>
                <w:lang w:val="pl-PL"/>
              </w:rPr>
              <w:t>, podać</w:t>
            </w:r>
          </w:p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Komora, drzwi, płaszcz grzewczy, rama wykonane ze stali kwasoodpornej.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Komora wykonana w sposób umożliwiający łatwe przeprowadzenie czynności konserwacji i utrzymania czystości:</w:t>
            </w:r>
          </w:p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- brak przewężenia światła komory przez kanał uszczelki,</w:t>
            </w:r>
          </w:p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- łatwe do demontażu przez obsługę szyny i filtr drenu.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TAK, załączyć rysunek komory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 xml:space="preserve">Pierścieniowy płaszcz grzewczy komory ułatwiający okresową inspekcję spawów. Spawy łączące komorę z pierścieniami grzewczymi widoczne bezpośrednio po demontażu izolacji. 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Zawory procesowe sterowane pneumatycznie.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Drzwi komory napędzane pneumatycznie lub elektrycznie wyposażone w zabezpieczenie uniemożliwiające zamkniecie drzwi, gdy natrafią one na opór.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color w:val="000000"/>
                <w:sz w:val="20"/>
                <w:szCs w:val="20"/>
              </w:rPr>
            </w:pPr>
            <w:r w:rsidRPr="00266615">
              <w:rPr>
                <w:color w:val="000000"/>
                <w:sz w:val="20"/>
                <w:szCs w:val="20"/>
                <w:lang w:val="pl-PL"/>
              </w:rPr>
              <w:t>TAK</w:t>
            </w:r>
            <w:r w:rsidRPr="00266615">
              <w:rPr>
                <w:sz w:val="20"/>
                <w:szCs w:val="20"/>
                <w:lang w:val="pl-PL"/>
              </w:rPr>
              <w:t>, podać</w:t>
            </w:r>
          </w:p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Drzwi przesuwane w płaszczyźnie poziomej  – automatycznie zamykane i blokowane w trakcie trwania procesu.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Przy otwartych drzwiach komory brak widocznych elementów przenoszących napęd drzwi np. siłowników, łańcuchów itp., których złożony kształt utrudnia utrzymanie czystości.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Uszczelka drzwi dociskana parą wodną lub sprężonym powietrzem.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TAK, podać</w:t>
            </w:r>
          </w:p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 xml:space="preserve">Zabezpieczenie przed jednoczesnym otwarciem drzwi komory po </w:t>
            </w:r>
            <w:r w:rsidRPr="00266615">
              <w:rPr>
                <w:sz w:val="20"/>
                <w:szCs w:val="20"/>
                <w:lang w:val="pl-PL"/>
              </w:rPr>
              <w:lastRenderedPageBreak/>
              <w:t>stronie załadowczej i rozładowczej.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lastRenderedPageBreak/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 xml:space="preserve">Próżnia w komorze wytwarzana za pomocą wbudowanej mechanicznej pompy próżniowej z uszczelnieniem wodnym. 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66615">
              <w:rPr>
                <w:rFonts w:ascii="Times New Roman" w:hAnsi="Times New Roman" w:cs="Times New Roman"/>
                <w:sz w:val="20"/>
                <w:szCs w:val="20"/>
              </w:rPr>
              <w:t>Układ wytwarzania próżni bez dodatkowych elementów powodujących dodatkowe zużycie wody (np. wyrzutnik wodny – ejector).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266615">
              <w:rPr>
                <w:sz w:val="20"/>
                <w:szCs w:val="20"/>
                <w:lang w:val="pl-PL"/>
              </w:rPr>
              <w:t>Zgodność z dyrektywą dotyczącą urządzeń ciśnieniowych 97/23/EC dla elementów ciśnieniowych oferowanego urządzenia.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Urządzenie posiada potwierdzenie deklaracji CE przez jednostkę notyfikowaną w krajach UE (oznakowanie CE z czterocyfrową notyfikacją, jednostka wymieniona w Dzienniku Urzędowym Unii Europejskiej).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Urządzenie zgłoszone w Polsce w rejestrze wyrobów medycznych.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 xml:space="preserve">Wózek wsadowy do wnętrza komory umożliwiający umieszczenie w komorze min. </w:t>
            </w:r>
            <w:r w:rsidRPr="00266615">
              <w:rPr>
                <w:kern w:val="2"/>
                <w:sz w:val="20"/>
                <w:szCs w:val="20"/>
                <w:lang w:val="pl-PL"/>
              </w:rPr>
              <w:t>12 standardowych materacy o grubości 12 cm</w:t>
            </w:r>
            <w:r w:rsidRPr="00266615">
              <w:rPr>
                <w:sz w:val="20"/>
                <w:szCs w:val="20"/>
                <w:lang w:val="pl-PL"/>
              </w:rPr>
              <w:t>.</w:t>
            </w:r>
          </w:p>
          <w:p w:rsidR="001966C5" w:rsidRPr="00266615" w:rsidRDefault="001966C5" w:rsidP="006A3573">
            <w:pPr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</w:rPr>
              <w:t>Ilość – 1 szt.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1966C5" w:rsidRPr="008D2322" w:rsidTr="00266615">
        <w:trPr>
          <w:trHeight w:val="137"/>
        </w:trPr>
        <w:tc>
          <w:tcPr>
            <w:tcW w:w="11058" w:type="dxa"/>
            <w:gridSpan w:val="4"/>
          </w:tcPr>
          <w:p w:rsidR="001966C5" w:rsidRPr="00266615" w:rsidRDefault="001966C5" w:rsidP="00266615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  <w:r w:rsidRPr="00266615">
              <w:rPr>
                <w:b/>
                <w:bCs/>
                <w:sz w:val="20"/>
                <w:szCs w:val="20"/>
                <w:lang w:val="pl-PL"/>
              </w:rPr>
              <w:t>Wyposażenie: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Elektryczna wytwornica pary zasilająca komorę do dezynfekcji.</w:t>
            </w:r>
          </w:p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Ilość – 1 szt.</w:t>
            </w:r>
          </w:p>
          <w:p w:rsidR="001966C5" w:rsidRPr="00266615" w:rsidRDefault="001966C5" w:rsidP="00266615">
            <w:pPr>
              <w:numPr>
                <w:ilvl w:val="0"/>
                <w:numId w:val="2"/>
              </w:numPr>
              <w:suppressAutoHyphens w:val="0"/>
              <w:ind w:left="306" w:hanging="283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urządzenie fabrycznie nowe</w:t>
            </w:r>
          </w:p>
          <w:p w:rsidR="001966C5" w:rsidRPr="00266615" w:rsidRDefault="001966C5" w:rsidP="00266615">
            <w:pPr>
              <w:numPr>
                <w:ilvl w:val="0"/>
                <w:numId w:val="2"/>
              </w:numPr>
              <w:suppressAutoHyphens w:val="0"/>
              <w:ind w:left="306" w:hanging="283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orurowanie i zawory ze stali nierdzewnej,</w:t>
            </w:r>
          </w:p>
          <w:p w:rsidR="001966C5" w:rsidRPr="00266615" w:rsidRDefault="001966C5" w:rsidP="00266615">
            <w:pPr>
              <w:numPr>
                <w:ilvl w:val="0"/>
                <w:numId w:val="2"/>
              </w:numPr>
              <w:suppressAutoHyphens w:val="0"/>
              <w:ind w:left="306" w:hanging="283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przystosowana do zasilania wodą demineralizowaną, dejonizowaną, destylowaną,</w:t>
            </w:r>
          </w:p>
          <w:p w:rsidR="001966C5" w:rsidRPr="00266615" w:rsidRDefault="001966C5" w:rsidP="00266615">
            <w:pPr>
              <w:numPr>
                <w:ilvl w:val="0"/>
                <w:numId w:val="2"/>
              </w:numPr>
              <w:suppressAutoHyphens w:val="0"/>
              <w:ind w:left="306" w:hanging="283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wytwornica pary zasilana wodą o przewodności poniżej 5µS/cm,</w:t>
            </w:r>
          </w:p>
          <w:p w:rsidR="001966C5" w:rsidRPr="00266615" w:rsidRDefault="001966C5" w:rsidP="00266615">
            <w:pPr>
              <w:numPr>
                <w:ilvl w:val="0"/>
                <w:numId w:val="2"/>
              </w:numPr>
              <w:suppressAutoHyphens w:val="0"/>
              <w:ind w:left="306" w:hanging="283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ciśnienie wytwarzanej pary: 2,7-3,0 bar,</w:t>
            </w:r>
          </w:p>
          <w:p w:rsidR="001966C5" w:rsidRPr="00266615" w:rsidRDefault="001966C5" w:rsidP="00266615">
            <w:pPr>
              <w:numPr>
                <w:ilvl w:val="0"/>
                <w:numId w:val="2"/>
              </w:numPr>
              <w:suppressAutoHyphens w:val="0"/>
              <w:ind w:left="306" w:hanging="283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wydajność zapewniająca prawidłowe działanie oferowanej komory dezynfekcyjnej,</w:t>
            </w:r>
          </w:p>
          <w:p w:rsidR="001966C5" w:rsidRPr="00266615" w:rsidRDefault="001966C5" w:rsidP="00266615">
            <w:pPr>
              <w:numPr>
                <w:ilvl w:val="0"/>
                <w:numId w:val="2"/>
              </w:numPr>
              <w:suppressAutoHyphens w:val="0"/>
              <w:ind w:left="306" w:hanging="283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zasilanie elektryczne zgodne ze standardami obowiązującymi w Polsce 400V, 50 Hz. Moc nie większa niż 125 kW,</w:t>
            </w:r>
          </w:p>
          <w:p w:rsidR="001966C5" w:rsidRPr="00266615" w:rsidRDefault="001966C5" w:rsidP="00266615">
            <w:pPr>
              <w:numPr>
                <w:ilvl w:val="0"/>
                <w:numId w:val="2"/>
              </w:numPr>
              <w:suppressAutoHyphens w:val="0"/>
              <w:ind w:left="306" w:hanging="283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 xml:space="preserve">wymiary zewnętrzne urządzenia (maksymalne): </w:t>
            </w:r>
          </w:p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 xml:space="preserve">         - szerokość 175 cm,</w:t>
            </w:r>
          </w:p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 xml:space="preserve">         - długość 100 cm,</w:t>
            </w:r>
          </w:p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 xml:space="preserve">         - wysokość 220 cm.</w:t>
            </w:r>
          </w:p>
          <w:p w:rsidR="001966C5" w:rsidRPr="00266615" w:rsidRDefault="001966C5" w:rsidP="00266615">
            <w:pPr>
              <w:numPr>
                <w:ilvl w:val="0"/>
                <w:numId w:val="2"/>
              </w:numPr>
              <w:suppressAutoHyphens w:val="0"/>
              <w:ind w:left="306" w:hanging="283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zbiorniki ciśnieniowe, elementy grzejne wykonane ze stali kwasoodpornej klasy co najmniej AISI 316,</w:t>
            </w:r>
          </w:p>
          <w:p w:rsidR="001966C5" w:rsidRPr="00266615" w:rsidRDefault="001966C5" w:rsidP="00266615">
            <w:pPr>
              <w:numPr>
                <w:ilvl w:val="0"/>
                <w:numId w:val="2"/>
              </w:numPr>
              <w:suppressAutoHyphens w:val="0"/>
              <w:ind w:left="306" w:hanging="283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rama wykonana ze stali kwasoodpornej klasy co najmniej AISI 304,</w:t>
            </w:r>
          </w:p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zgodność z dyrektywą dotyczącą urządzeń ciśnieniowych 97/23/EC dla elementów ciśnieniowych oferowanego urządzenia. Potwierdzona certyfikatem – kopię dokumentu załączyć do oferty.</w:t>
            </w:r>
          </w:p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pStyle w:val="Default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66615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Zabudowa otworu montażowego wraz z niezbędnymi drzwiami </w:t>
            </w:r>
            <w:r w:rsidRPr="00266615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umożliwiającymi dostęp do przestrzeni serwisowej. Wykonanie - stal gatunku min. AISI 304.</w:t>
            </w:r>
          </w:p>
          <w:p w:rsidR="001966C5" w:rsidRPr="00266615" w:rsidRDefault="001966C5" w:rsidP="00266615">
            <w:pPr>
              <w:tabs>
                <w:tab w:val="left" w:pos="5670"/>
              </w:tabs>
              <w:rPr>
                <w:color w:val="000000"/>
                <w:sz w:val="20"/>
                <w:szCs w:val="20"/>
                <w:lang w:val="pl-PL" w:eastAsia="ar-SA"/>
              </w:rPr>
            </w:pPr>
            <w:r w:rsidRPr="00266615">
              <w:rPr>
                <w:color w:val="000000"/>
                <w:sz w:val="20"/>
                <w:szCs w:val="20"/>
                <w:lang w:val="pl-PL" w:eastAsia="ar-SA"/>
              </w:rPr>
              <w:t>Ilość – 1 kpl.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lastRenderedPageBreak/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ind w:right="-67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266615">
              <w:rPr>
                <w:b/>
                <w:bCs/>
                <w:sz w:val="20"/>
                <w:szCs w:val="20"/>
                <w:lang w:val="pl-PL"/>
              </w:rPr>
              <w:lastRenderedPageBreak/>
              <w:t>II</w:t>
            </w:r>
          </w:p>
        </w:tc>
        <w:tc>
          <w:tcPr>
            <w:tcW w:w="6059" w:type="dxa"/>
          </w:tcPr>
          <w:p w:rsidR="001966C5" w:rsidRPr="00266615" w:rsidRDefault="001966C5" w:rsidP="00266615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bCs/>
                <w:sz w:val="20"/>
                <w:szCs w:val="20"/>
                <w:lang w:val="pl-PL" w:eastAsia="ar-SA"/>
              </w:rPr>
            </w:pPr>
            <w:r w:rsidRPr="00266615">
              <w:rPr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Czas reakcji na zgłoszoną awarię w dni robocze - max 24 h</w:t>
            </w:r>
          </w:p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Maksymalny czas naprawy uszkodzenia w okresie gwarancyjnym do 14 dni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266615" w:rsidRPr="008D2322" w:rsidTr="00266615">
        <w:trPr>
          <w:trHeight w:val="137"/>
        </w:trPr>
        <w:tc>
          <w:tcPr>
            <w:tcW w:w="888" w:type="dxa"/>
          </w:tcPr>
          <w:p w:rsidR="001966C5" w:rsidRPr="00266615" w:rsidRDefault="001966C5" w:rsidP="00266615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966C5" w:rsidRPr="00266615" w:rsidRDefault="001966C5" w:rsidP="006A3573">
            <w:pPr>
              <w:rPr>
                <w:sz w:val="20"/>
                <w:szCs w:val="20"/>
                <w:lang w:val="pl-PL"/>
              </w:rPr>
            </w:pPr>
            <w:r w:rsidRPr="00266615">
              <w:rPr>
                <w:sz w:val="20"/>
                <w:szCs w:val="20"/>
                <w:lang w:val="pl-PL"/>
              </w:rPr>
              <w:t>Dostępność części zamiennych przez okres min 10 lat od sprzedaży</w:t>
            </w:r>
          </w:p>
        </w:tc>
        <w:tc>
          <w:tcPr>
            <w:tcW w:w="1984" w:type="dxa"/>
          </w:tcPr>
          <w:p w:rsidR="001966C5" w:rsidRPr="00266615" w:rsidRDefault="001966C5" w:rsidP="00266615">
            <w:pPr>
              <w:jc w:val="center"/>
              <w:rPr>
                <w:sz w:val="20"/>
                <w:szCs w:val="20"/>
              </w:rPr>
            </w:pPr>
            <w:r w:rsidRPr="00266615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966C5" w:rsidRPr="00266615" w:rsidRDefault="001966C5" w:rsidP="0026661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</w:tbl>
    <w:p w:rsidR="001966C5" w:rsidRPr="00DF7C2D" w:rsidRDefault="001966C5" w:rsidP="00D57323">
      <w:pPr>
        <w:rPr>
          <w:sz w:val="22"/>
          <w:szCs w:val="22"/>
          <w:lang w:val="pl-PL"/>
        </w:rPr>
      </w:pPr>
    </w:p>
    <w:p w:rsidR="001966C5" w:rsidRDefault="001966C5"/>
    <w:sectPr w:rsidR="001966C5" w:rsidSect="005948E2">
      <w:pgSz w:w="16838" w:h="11906" w:orient="landscape"/>
      <w:pgMar w:top="851" w:right="1276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B0939"/>
    <w:multiLevelType w:val="hybridMultilevel"/>
    <w:tmpl w:val="FBBCE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doNotTrackMove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323"/>
    <w:rsid w:val="00007A78"/>
    <w:rsid w:val="000B1E97"/>
    <w:rsid w:val="000D1C0C"/>
    <w:rsid w:val="00165629"/>
    <w:rsid w:val="001966C5"/>
    <w:rsid w:val="001D663B"/>
    <w:rsid w:val="00266615"/>
    <w:rsid w:val="002A177B"/>
    <w:rsid w:val="00507F5E"/>
    <w:rsid w:val="0054004F"/>
    <w:rsid w:val="00580C68"/>
    <w:rsid w:val="005948E2"/>
    <w:rsid w:val="006855C0"/>
    <w:rsid w:val="00690320"/>
    <w:rsid w:val="006A3573"/>
    <w:rsid w:val="007413AD"/>
    <w:rsid w:val="00742D78"/>
    <w:rsid w:val="008D2322"/>
    <w:rsid w:val="0095728F"/>
    <w:rsid w:val="009C0A04"/>
    <w:rsid w:val="00A15015"/>
    <w:rsid w:val="00A27AF6"/>
    <w:rsid w:val="00AD4C51"/>
    <w:rsid w:val="00B53D54"/>
    <w:rsid w:val="00C70435"/>
    <w:rsid w:val="00D57323"/>
    <w:rsid w:val="00D86979"/>
    <w:rsid w:val="00DF7C2D"/>
    <w:rsid w:val="00ED2F50"/>
    <w:rsid w:val="00EE55E5"/>
    <w:rsid w:val="00F17C80"/>
    <w:rsid w:val="00FA2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7323"/>
    <w:pPr>
      <w:suppressAutoHyphens/>
    </w:pPr>
    <w:rPr>
      <w:rFonts w:ascii="Times New Roman" w:eastAsia="Times New Roman" w:hAnsi="Times New Roman"/>
      <w:kern w:val="1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D57323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95728F"/>
    <w:pPr>
      <w:tabs>
        <w:tab w:val="center" w:pos="4536"/>
        <w:tab w:val="right" w:pos="9072"/>
      </w:tabs>
      <w:suppressAutoHyphens w:val="0"/>
    </w:pPr>
    <w:rPr>
      <w:kern w:val="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95728F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74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1173</Words>
  <Characters>7038</Characters>
  <Application>Microsoft Office Word</Application>
  <DocSecurity>0</DocSecurity>
  <Lines>58</Lines>
  <Paragraphs>16</Paragraphs>
  <ScaleCrop>false</ScaleCrop>
  <Company>Microsoft</Company>
  <LinksUpToDate>false</LinksUpToDate>
  <CharactersWithSpaces>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11</cp:revision>
  <cp:lastPrinted>2017-03-29T10:51:00Z</cp:lastPrinted>
  <dcterms:created xsi:type="dcterms:W3CDTF">2016-12-05T09:30:00Z</dcterms:created>
  <dcterms:modified xsi:type="dcterms:W3CDTF">2017-11-06T12:23:00Z</dcterms:modified>
</cp:coreProperties>
</file>